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 </w:t>
      </w:r>
      <w:r>
        <w:rPr>
          <w:rFonts w:cs="Arial" w:ascii="Arial" w:hAnsi="Arial"/>
          <w:u w:val="single"/>
        </w:rPr>
        <w:t>272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εργατικές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101/2019, 245/2020, 386/2019, 463/2018 και ημερομηνία δικασίμου 23-2-2021</w:t>
      </w:r>
      <w:r>
        <w:rPr>
          <w:rFonts w:cs="Arial" w:ascii="Arial" w:hAnsi="Arial"/>
          <w:b w:val="false"/>
          <w:bCs w:val="false"/>
          <w:sz w:val="24"/>
          <w:szCs w:val="24"/>
        </w:rPr>
        <w:t>, 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αυτοκινητικές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199/2020, 262/2020 και </w:t>
      </w:r>
      <w:bookmarkStart w:id="0" w:name="__DdeLink__48_2493628673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16-2-2021,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>2α Νοεμβρίου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-2-2021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343478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LibreOffice/6.0.2.1$Windows_x86 LibreOffice_project/f7f06a8f319e4b62f9bc5095aa112a65d2f3ac89</Application>
  <Pages>1</Pages>
  <Words>126</Words>
  <Characters>808</Characters>
  <CharactersWithSpaces>11142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2021-02-25T11:28:16Z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